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764" w14:textId="56612EDB" w:rsidR="006C0D5F" w:rsidRDefault="006C0D5F" w:rsidP="000A6B8C">
      <w:pPr>
        <w:ind w:left="708" w:right="147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501E737E" wp14:editId="3B4181CA">
            <wp:extent cx="533400" cy="67056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B58E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REPUBLIKA HRVATSKA</w:t>
      </w:r>
    </w:p>
    <w:p w14:paraId="28740B90" w14:textId="40E9B339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ZAGORSKA ŽUPANIJA</w:t>
      </w:r>
    </w:p>
    <w:p w14:paraId="06EC5A46" w14:textId="77777777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GRAD ZLATAR</w:t>
      </w:r>
    </w:p>
    <w:p w14:paraId="3A17E244" w14:textId="2A7F403B" w:rsidR="006C0D5F" w:rsidRDefault="006C0D5F" w:rsidP="000A6B8C">
      <w:pPr>
        <w:ind w:right="147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GRADSKO VIJEĆE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</w:p>
    <w:p w14:paraId="41501B8D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3DC9B0" w14:textId="5C7B4CD4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400-04/2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05</w:t>
      </w:r>
    </w:p>
    <w:p w14:paraId="126F3A22" w14:textId="4A5DD1C4" w:rsidR="006C0D5F" w:rsidRDefault="00157D6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2140-07-0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1-2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9522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4E1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</w:p>
    <w:p w14:paraId="5015F1FB" w14:textId="45841078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Zlatar, </w:t>
      </w:r>
      <w:r w:rsidR="004E1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12. lipnja </w:t>
      </w:r>
      <w:r w:rsidR="00157D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A9B23E3" w14:textId="58EEA820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CBC7BE7" w14:textId="33D1C21E" w:rsidR="006C0D5F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temelju članka 82. stavka 2. Pravilnika o proračunskom računovodstvu i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računskom planu („Narodne novine“ broj 124/14.) i članka 27. Statuta Grada Zlatara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(„Službeni glasnik Krapinsko-zagorske županije“ broj 36A/13, 9/18, 9/20 i 17A/21) Gradsko vijeće Grada Zlatara na </w:t>
      </w:r>
      <w:r w:rsidR="004E1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sjednici </w:t>
      </w:r>
      <w:r w:rsidR="004E11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 lipnja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donijelo je</w:t>
      </w:r>
    </w:p>
    <w:p w14:paraId="4A93FC27" w14:textId="2A3D2F79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852FD7E" w14:textId="72D377A7" w:rsidR="00952290" w:rsidRDefault="0095229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E77C2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</w:p>
    <w:p w14:paraId="29A16B39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RASPODJELI REZULTATA POSLOVANJA</w:t>
      </w:r>
    </w:p>
    <w:p w14:paraId="4D47BCE1" w14:textId="77777777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OSTVARENOG U PRORAČUNU GRADA ZLATARA </w:t>
      </w:r>
    </w:p>
    <w:p w14:paraId="35A23A4E" w14:textId="7676EEA8" w:rsidR="00952290" w:rsidRPr="000A6B8C" w:rsidRDefault="00952290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31.12.202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0A6B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</w:p>
    <w:p w14:paraId="75EA2ED9" w14:textId="77777777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252309" w14:textId="125B2BAC" w:rsidR="006C0D5F" w:rsidRDefault="000D0F9A" w:rsidP="000A6B8C">
      <w:pPr>
        <w:ind w:left="9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1CFBAC8F" w14:textId="1A49BC94" w:rsidR="000D0F9A" w:rsidRDefault="0095229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Ovom Odlukom o raspodjeli rezultata poslovanja ost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varenog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Proračunu Grada Zlatara 31.12.202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(u daljnjem tekstu: Odluka) utvrđuje se raspodjela rezultata u 202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BF733B8" w14:textId="77777777" w:rsidR="00C626B0" w:rsidRDefault="00C626B0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2015"/>
        <w:gridCol w:w="2067"/>
        <w:gridCol w:w="2277"/>
      </w:tblGrid>
      <w:tr w:rsidR="00C626B0" w:rsidRPr="00C626B0" w14:paraId="77217DB4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744A807B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692FED4F" w14:textId="4D5CBE51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Prijenos višak/manjak iz prijašnjih razdoblja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EAFEF00" w14:textId="34057630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Rezultat višak/manjak ove godine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70C424" w14:textId="77777777" w:rsidR="00C626B0" w:rsidRPr="00C626B0" w:rsidRDefault="00C626B0" w:rsidP="00C626B0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Višak/manjak raspoloživ u sljedećem razdoblju</w:t>
            </w:r>
          </w:p>
        </w:tc>
      </w:tr>
      <w:tr w:rsidR="00C626B0" w:rsidRPr="00C626B0" w14:paraId="41EA766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E060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2015" w:type="dxa"/>
            <w:shd w:val="clear" w:color="auto" w:fill="auto"/>
          </w:tcPr>
          <w:p w14:paraId="6CE2B696" w14:textId="2DECEDF8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-2.308.583,85</w:t>
            </w:r>
          </w:p>
        </w:tc>
        <w:tc>
          <w:tcPr>
            <w:tcW w:w="2067" w:type="dxa"/>
            <w:shd w:val="clear" w:color="auto" w:fill="auto"/>
          </w:tcPr>
          <w:p w14:paraId="50837926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238.415,04</w:t>
            </w:r>
          </w:p>
        </w:tc>
        <w:tc>
          <w:tcPr>
            <w:tcW w:w="2277" w:type="dxa"/>
            <w:shd w:val="clear" w:color="auto" w:fill="auto"/>
          </w:tcPr>
          <w:p w14:paraId="5ECB8CEE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bookmarkStart w:id="0" w:name="_Hlk135743218"/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-2.070.166,96</w:t>
            </w:r>
            <w:bookmarkEnd w:id="0"/>
          </w:p>
        </w:tc>
      </w:tr>
      <w:tr w:rsidR="00C626B0" w:rsidRPr="00C626B0" w14:paraId="713CC1B0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5ACD357E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Gradska knjižnica</w:t>
            </w:r>
          </w:p>
        </w:tc>
        <w:tc>
          <w:tcPr>
            <w:tcW w:w="2015" w:type="dxa"/>
            <w:shd w:val="clear" w:color="auto" w:fill="auto"/>
          </w:tcPr>
          <w:p w14:paraId="0D8A0814" w14:textId="7CFC534B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80.199,54</w:t>
            </w:r>
          </w:p>
        </w:tc>
        <w:tc>
          <w:tcPr>
            <w:tcW w:w="2067" w:type="dxa"/>
            <w:shd w:val="clear" w:color="auto" w:fill="auto"/>
          </w:tcPr>
          <w:p w14:paraId="0364B0ED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-17.809,71</w:t>
            </w:r>
          </w:p>
        </w:tc>
        <w:tc>
          <w:tcPr>
            <w:tcW w:w="2277" w:type="dxa"/>
            <w:shd w:val="clear" w:color="auto" w:fill="auto"/>
          </w:tcPr>
          <w:p w14:paraId="48E4166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62.390,46</w:t>
            </w:r>
          </w:p>
        </w:tc>
      </w:tr>
      <w:tr w:rsidR="00C626B0" w:rsidRPr="00C626B0" w14:paraId="4411723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42DF6D55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 xml:space="preserve">Galerija izvorne umjetnosti </w:t>
            </w:r>
          </w:p>
        </w:tc>
        <w:tc>
          <w:tcPr>
            <w:tcW w:w="2015" w:type="dxa"/>
            <w:shd w:val="clear" w:color="auto" w:fill="auto"/>
          </w:tcPr>
          <w:p w14:paraId="10721B0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237,90</w:t>
            </w:r>
          </w:p>
        </w:tc>
        <w:tc>
          <w:tcPr>
            <w:tcW w:w="2067" w:type="dxa"/>
            <w:shd w:val="clear" w:color="auto" w:fill="auto"/>
          </w:tcPr>
          <w:p w14:paraId="04841B37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2277" w:type="dxa"/>
            <w:shd w:val="clear" w:color="auto" w:fill="auto"/>
          </w:tcPr>
          <w:p w14:paraId="5B14B285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237,91</w:t>
            </w:r>
          </w:p>
        </w:tc>
      </w:tr>
      <w:tr w:rsidR="00C626B0" w:rsidRPr="00C626B0" w14:paraId="2EBD0EB7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6C581A12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Pučko otvoreno učilište</w:t>
            </w:r>
          </w:p>
          <w:p w14:paraId="0AED202D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dr. Jurja Žerjavića</w:t>
            </w:r>
          </w:p>
        </w:tc>
        <w:tc>
          <w:tcPr>
            <w:tcW w:w="2015" w:type="dxa"/>
            <w:shd w:val="clear" w:color="auto" w:fill="auto"/>
          </w:tcPr>
          <w:p w14:paraId="45F806BC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45.489,84</w:t>
            </w:r>
          </w:p>
        </w:tc>
        <w:tc>
          <w:tcPr>
            <w:tcW w:w="2067" w:type="dxa"/>
            <w:shd w:val="clear" w:color="auto" w:fill="auto"/>
          </w:tcPr>
          <w:p w14:paraId="57273077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-2.191,24</w:t>
            </w:r>
          </w:p>
        </w:tc>
        <w:tc>
          <w:tcPr>
            <w:tcW w:w="2277" w:type="dxa"/>
            <w:shd w:val="clear" w:color="auto" w:fill="auto"/>
          </w:tcPr>
          <w:p w14:paraId="157B1ABA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43.298,60</w:t>
            </w:r>
          </w:p>
        </w:tc>
      </w:tr>
      <w:tr w:rsidR="00C626B0" w:rsidRPr="00C626B0" w14:paraId="67BE280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25EA3E5A" w14:textId="77777777" w:rsidR="00C626B0" w:rsidRPr="00C626B0" w:rsidRDefault="00C626B0" w:rsidP="00C626B0">
            <w:pPr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Dječji vrtić i jaslice Zlatarsko zlato</w:t>
            </w:r>
          </w:p>
        </w:tc>
        <w:tc>
          <w:tcPr>
            <w:tcW w:w="2015" w:type="dxa"/>
            <w:shd w:val="clear" w:color="auto" w:fill="auto"/>
          </w:tcPr>
          <w:p w14:paraId="2666BB31" w14:textId="62C2E92A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212.290,52</w:t>
            </w:r>
          </w:p>
        </w:tc>
        <w:tc>
          <w:tcPr>
            <w:tcW w:w="2067" w:type="dxa"/>
            <w:shd w:val="clear" w:color="auto" w:fill="auto"/>
          </w:tcPr>
          <w:p w14:paraId="4E281EFE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-199.862,29</w:t>
            </w:r>
          </w:p>
        </w:tc>
        <w:tc>
          <w:tcPr>
            <w:tcW w:w="2277" w:type="dxa"/>
            <w:shd w:val="clear" w:color="auto" w:fill="auto"/>
          </w:tcPr>
          <w:p w14:paraId="7439C818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-41.013,29</w:t>
            </w:r>
          </w:p>
        </w:tc>
      </w:tr>
      <w:tr w:rsidR="00C626B0" w:rsidRPr="00C626B0" w14:paraId="4E9571EB" w14:textId="77777777" w:rsidTr="00C626B0">
        <w:trPr>
          <w:jc w:val="center"/>
        </w:trPr>
        <w:tc>
          <w:tcPr>
            <w:tcW w:w="2703" w:type="dxa"/>
            <w:shd w:val="clear" w:color="auto" w:fill="auto"/>
          </w:tcPr>
          <w:p w14:paraId="05131A6C" w14:textId="77777777" w:rsidR="00C626B0" w:rsidRPr="00C626B0" w:rsidRDefault="00C626B0" w:rsidP="00C626B0">
            <w:pPr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015" w:type="dxa"/>
            <w:shd w:val="clear" w:color="auto" w:fill="auto"/>
          </w:tcPr>
          <w:p w14:paraId="48E94E57" w14:textId="77C5D9B2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-1.970.366,05</w:t>
            </w:r>
          </w:p>
        </w:tc>
        <w:tc>
          <w:tcPr>
            <w:tcW w:w="2067" w:type="dxa"/>
            <w:shd w:val="clear" w:color="auto" w:fill="auto"/>
          </w:tcPr>
          <w:p w14:paraId="396F46C8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18.551,81</w:t>
            </w:r>
          </w:p>
        </w:tc>
        <w:tc>
          <w:tcPr>
            <w:tcW w:w="2277" w:type="dxa"/>
            <w:shd w:val="clear" w:color="auto" w:fill="auto"/>
          </w:tcPr>
          <w:p w14:paraId="7CFB4510" w14:textId="77777777" w:rsidR="00C626B0" w:rsidRPr="00C626B0" w:rsidRDefault="00C626B0" w:rsidP="00C626B0">
            <w:pPr>
              <w:jc w:val="right"/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</w:pPr>
            <w:r w:rsidRPr="00C626B0">
              <w:rPr>
                <w:rFonts w:ascii="Calibri" w:eastAsia="Calibri" w:hAnsi="Calibri" w:cs="Times New Roman"/>
                <w:bCs/>
                <w:sz w:val="20"/>
                <w:szCs w:val="20"/>
                <w:lang w:eastAsia="hr-HR"/>
              </w:rPr>
              <w:t>-2.005.253,28</w:t>
            </w:r>
          </w:p>
        </w:tc>
      </w:tr>
    </w:tbl>
    <w:p w14:paraId="6452E20A" w14:textId="77777777" w:rsidR="00C626B0" w:rsidRDefault="00C626B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A374C1" w14:textId="0001CCE2" w:rsidR="006C0D5F" w:rsidRDefault="000D0F9A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601D9E84" w14:textId="37916E89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 prihoda od nefinancijske imovine u iznosu od</w:t>
      </w:r>
      <w:r w:rsidR="00E40EC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A7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17.331.932,53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pokriva se iz viška prihoda poslovanja</w:t>
      </w:r>
      <w:r w:rsidR="00312E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E05E695" w14:textId="34E58AAA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primitaka od financijske imovine u iznosu od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403.828,32 kune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pokriva manjak prihoda od nefinancijske imovine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F3F0664" w14:textId="250A2634" w:rsidR="000D0F9A" w:rsidRDefault="000D0F9A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Višak prihoda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EA70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15.474.675,79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pokriva manjak prihoda od nefinancijske imovine.</w:t>
      </w:r>
    </w:p>
    <w:p w14:paraId="301D77AE" w14:textId="57E2BD14" w:rsidR="000D0F9A" w:rsidRDefault="00802DDF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Utvrđeni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poslovanja Grada Zlatara u 202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iznosu od</w:t>
      </w:r>
      <w:r w:rsidR="000D0F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238.415,04</w:t>
      </w:r>
      <w:r w:rsidR="00C626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825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kuna</w:t>
      </w:r>
      <w:r w:rsidR="009E3B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pokriva ukupni manjak poslovanja.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A09C1DD" w14:textId="295E706F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0C141D" w14:textId="156C6272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19B359E" w14:textId="77777777" w:rsidR="000A6B8C" w:rsidRDefault="000A6B8C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3E2154" w14:textId="77777777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DF3E4F" w14:textId="1BE11D3E" w:rsidR="00734BD2" w:rsidRDefault="00734BD2" w:rsidP="000A6B8C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3.</w:t>
      </w:r>
    </w:p>
    <w:p w14:paraId="262B8C65" w14:textId="3046FB3D" w:rsidR="00734BD2" w:rsidRDefault="00734BD2" w:rsidP="000A6B8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Odluka stupa na snagu dan nakon objave u „Službenom glasniku Krapinsko-zagorske županije“.</w:t>
      </w:r>
    </w:p>
    <w:p w14:paraId="2E2121E9" w14:textId="77777777" w:rsidR="00734BD2" w:rsidRDefault="00734BD2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159E3D" w14:textId="77777777" w:rsidR="00F60750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C2F8CA" w14:textId="1D950FC6" w:rsidR="006C0D5F" w:rsidRDefault="00F60750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</w:t>
      </w:r>
      <w:r w:rsidR="006C0D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59CF2DB4" w14:textId="2C14C401" w:rsidR="006C0D5F" w:rsidRDefault="006C0D5F" w:rsidP="000A6B8C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</w:t>
      </w:r>
      <w:r w:rsidR="00734B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Danijela Findak</w:t>
      </w:r>
    </w:p>
    <w:p w14:paraId="7C1947CD" w14:textId="77777777" w:rsidR="006C0D5F" w:rsidRDefault="006C0D5F" w:rsidP="000A6B8C">
      <w:pPr>
        <w:ind w:firstLine="96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E47583" w14:textId="77777777" w:rsidR="006C0D5F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7D0E1E" w14:textId="77777777" w:rsidR="006C0D5F" w:rsidRPr="00F60750" w:rsidRDefault="006C0D5F" w:rsidP="006C0D5F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52734F" w14:textId="77777777" w:rsidR="00635070" w:rsidRDefault="00635070"/>
    <w:sectPr w:rsidR="00635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F38"/>
    <w:multiLevelType w:val="hybridMultilevel"/>
    <w:tmpl w:val="87E612BE"/>
    <w:lvl w:ilvl="0" w:tplc="4E383ED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35518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F"/>
    <w:rsid w:val="000A6B8C"/>
    <w:rsid w:val="000D0F9A"/>
    <w:rsid w:val="00157D62"/>
    <w:rsid w:val="001C2758"/>
    <w:rsid w:val="00312E77"/>
    <w:rsid w:val="004A2CBC"/>
    <w:rsid w:val="004B2B64"/>
    <w:rsid w:val="004E1172"/>
    <w:rsid w:val="00614CBE"/>
    <w:rsid w:val="00635070"/>
    <w:rsid w:val="006758D9"/>
    <w:rsid w:val="006C0D5F"/>
    <w:rsid w:val="00734BD2"/>
    <w:rsid w:val="00802DDF"/>
    <w:rsid w:val="00952290"/>
    <w:rsid w:val="00952C63"/>
    <w:rsid w:val="00953F78"/>
    <w:rsid w:val="009825A7"/>
    <w:rsid w:val="009E3BE0"/>
    <w:rsid w:val="00AC4935"/>
    <w:rsid w:val="00B92719"/>
    <w:rsid w:val="00C626B0"/>
    <w:rsid w:val="00C96EC5"/>
    <w:rsid w:val="00CF707E"/>
    <w:rsid w:val="00E40ECA"/>
    <w:rsid w:val="00EA7070"/>
    <w:rsid w:val="00F60750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765A"/>
  <w15:chartTrackingRefBased/>
  <w15:docId w15:val="{549AFEF4-EB18-4B56-9A1F-5FD11059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5F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719"/>
    <w:pPr>
      <w:ind w:left="720"/>
      <w:contextualSpacing/>
    </w:pPr>
  </w:style>
  <w:style w:type="table" w:styleId="Reetkatablice">
    <w:name w:val="Table Grid"/>
    <w:basedOn w:val="Obinatablica"/>
    <w:uiPriority w:val="39"/>
    <w:rsid w:val="000D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Sanja Lisjak</cp:lastModifiedBy>
  <cp:revision>22</cp:revision>
  <cp:lastPrinted>2023-05-23T12:02:00Z</cp:lastPrinted>
  <dcterms:created xsi:type="dcterms:W3CDTF">2020-07-22T08:26:00Z</dcterms:created>
  <dcterms:modified xsi:type="dcterms:W3CDTF">2023-06-16T08:16:00Z</dcterms:modified>
</cp:coreProperties>
</file>